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Autonomía en la Decisión con Criterio Propio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aplicar una matriz de decisión a una situación universitaria real, identificando alternativas, influencias externas, valores, consecuencias y comprometiéndose a una acción concreta dentro de los próximos siete días, promoviendo la autonomía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Autonomía en la Decisión con Criterio Propio</w:t>
      </w:r>
    </w:p>
    <w:p>
      <w:pPr/>
      <w:r>
        <w:rPr/>
        <w:t xml:space="preserve">Esta lista de verificación evalúa la capacidad del estudiante para aplicar una matriz de decisión a una situación universitaria real, identificando alternativas, influencias externas, valores, consecuencias y comprometiéndose a una acción concreta dentro de los próximos siete días, promoviendo la autonomía responsable.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dos alternativas viables para la situación planteada.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influencias externas que afectan la decisión.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los valores personales que sustentan la elección realizada.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las posibles consecuencias de cada alternativa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 matriz de decisión para analizar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una acción concreta y realista para realizar en los próximos siete días.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coherencia entre la decisión tomada y los criterios personales asumidos.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Asume responsabilidad por la decisión y sus posibles consecuencias, evidenciado en la hoja de compromiso.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2026-09-25T19:43:26-05:00</dcterms:created>
  <dcterms:modified xsi:type="dcterms:W3CDTF">2026-09-25T19:43:26-05:00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