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Teorema de Pitágoras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de secundaria en la aplicación y comprensión del Teorema de Pitágoras en problemas geométricos. Se valoran aspectos clave como la comprensión conceptual, aplicación, precisión, claridad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Teorema de Pitágoras en Geometría</w:t>
      </w:r>
    </w:p>
    <w:p>
      <w:pPr/>
      <w:r>
        <w:rPr/>
        <w:t xml:space="preserve">Esta rúbrica está diseñada para evaluar el trabajo integral de los estudiantes de secundaria en la aplicación y comprensión del Teorema de Pitágoras en problemas geométricos. Se valoran aspectos clave como la comprensión conceptual, aplicación, precisión, claridad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teorema y su significado geométrico.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Teorema</w:t>
            </w:r>
          </w:p>
        </w:tc>
        <w:tc>
          <w:tcPr>
            <w:noWrap/>
          </w:tcPr>
          <w:p>
            <w:pPr/>
            <w:r>
              <w:rPr/>
              <w:t xml:space="preserve">Aplica el teorema adecuadamente para resolver problemas geométricos sin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usando el teorema con procedimientos coherentes y completos.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matemáticos con exactitud y sin errores aritméticos.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Incluye dibujos o diagramas claros y correctos que apoyan la 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con pasos bien explicados y fáciles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y precisos relacionados con el teorema y la geometría.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Razonamiento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creatividad al abordar problemas o explicar resultados.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2026-09-26T05:39:54-05:00</dcterms:created>
  <dcterms:modified xsi:type="dcterms:W3CDTF">2026-09-26T05:39:54-05:00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