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Representación de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los estudiantes representan correctamente fracciones propias e impropias en sus trabajos, asegurando comprensión y precisión en la identificación y dibujo de las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Representación de Fracciones Propias e Impropias</w:t>
      </w:r>
    </w:p>
    <w:p>
      <w:pPr/>
      <w:r>
        <w:rPr/>
        <w:t xml:space="preserve">Esta lista de verificación ayuda a evaluar si los estudiantes representan correctamente fracciones propias e impropias en sus trabajos, asegurando comprensión y precisión en la identificación y dibujo de las fracciones.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fracción representada está correctamente identificada como propia o impropia.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representación gráfica muestra la fracción con la cantidad correcta de partes iguales.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fracción está dividida en partes iguales y claramente visibles.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cantidad de partes sombreadas o marcadas corresponde al numerador de la fracción.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partes no sombreadas o marcadas corresponden al denominador menos el numerador (para fracciones propias) o exceden un entero (para fracciones impropias).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está limpio y organizado para facilitar la comprensión de la fracción.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símbolos o etiquetas para indicar claramente la fracción representada.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representación incluye al menos un ejemplo de fracción propia y uno de fracción impropia.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2026-09-25T18:45:20-05:00</dcterms:created>
  <dcterms:modified xsi:type="dcterms:W3CDTF">2026-09-25T18:45:20-05:00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