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Potencial de Acción en Hiperkalemia e Hipokalemia y su Relación con Calambres Musculares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estudiantes universitarios en Ciencias de la Salud sobre el potencial de acción en condiciones de hiperkalemia e hipokalemia, así como su impacto en la aparición de calambres musculares.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Potencial de Acción en Hiperkalemia e Hipokalemia y su Relación con Calambres Musculares</w:t>
      </w:r>
    </w:p>
    <w:p>
      <w:pPr/>
      <w:r>
        <w:rPr/>
        <w:t xml:space="preserve">Esta rúbrica está diseñada para evaluar el conocimiento y análisis de los estudiantes universitarios en Ciencias de la Salud sobre el potencial de acción en condiciones de hiperkalemia e hipokalemia, así como su impacto en la aparición de calambres musculares.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potencial de acción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el potencial de acción, incluyendo fases y mecanismos iónicos.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potencial de acción,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pero incompleta o con errores leves.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insuficiente o incorrecta del potencial de 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hiperkalemia e hipokalemia</w:t>
            </w:r>
          </w:p>
        </w:tc>
        <w:tc>
          <w:tcPr>
            <w:noWrap/>
          </w:tcPr>
          <w:p>
            <w:pPr/>
            <w:r>
              <w:rPr/>
              <w:t xml:space="preserve">Define claramente ambas condiciones, sus causas y efectos en el organismo.</w:t>
            </w:r>
          </w:p>
        </w:tc>
        <w:tc>
          <w:tcPr>
            <w:noWrap/>
          </w:tcPr>
          <w:p>
            <w:pPr/>
            <w:r>
              <w:rPr/>
              <w:t xml:space="preserve">Describe las condiciones con precisión, pero sin profundizar en causas o efectos.</w:t>
            </w:r>
          </w:p>
        </w:tc>
        <w:tc>
          <w:tcPr>
            <w:noWrap/>
          </w:tcPr>
          <w:p>
            <w:pPr/>
            <w:r>
              <w:rPr/>
              <w:t xml:space="preserve">Reconoce las condiciones pero con definiciones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definir ni diferenciar hiperkalemia e hipokalemia.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hiperkalemia/hipokalemia y cambios en el potencial de acción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cada condición altera el potencial de acción y su fisiopatología.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influencia de las condiciones en el potencial de acción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de la relación,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relaciona correctamente las condiciones con cambios en el potencial de 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entre alteraciones del potencial de acción y calambres musculares</w:t>
            </w:r>
          </w:p>
        </w:tc>
        <w:tc>
          <w:tcPr>
            <w:noWrap/>
          </w:tcPr>
          <w:p>
            <w:pPr/>
            <w:r>
              <w:rPr/>
              <w:t xml:space="preserve">Relaciona con claridad y profundidad cómo los cambios en el potencial de acción producen calambres.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correcta, aunque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relación básica pero poco desarrollada o con imprecisiones.</w:t>
            </w:r>
          </w:p>
        </w:tc>
        <w:tc>
          <w:tcPr>
            <w:noWrap/>
          </w:tcPr>
          <w:p>
            <w:pPr/>
            <w:r>
              <w:rPr/>
              <w:t xml:space="preserve">No establece la conexión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médica adecuada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preciso y apropiado en todo el análisis.</w:t>
            </w:r>
          </w:p>
        </w:tc>
        <w:tc>
          <w:tcPr>
            <w:noWrap/>
          </w:tcPr>
          <w:p>
            <w:pPr/>
            <w:r>
              <w:rPr/>
              <w:t xml:space="preserve">Usa terminología médica adecuada con pocos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Emplea términos médicos básicos, pero con errores frecuentes o uso inadecuado.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médica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mecanismos fisiológicos subyacentes</w:t>
            </w:r>
          </w:p>
        </w:tc>
        <w:tc>
          <w:tcPr>
            <w:noWrap/>
          </w:tcPr>
          <w:p>
            <w:pPr/>
            <w:r>
              <w:rPr/>
              <w:t xml:space="preserve">Describe con detalle los mecanismos fisiológicos involucrados en ambas condiciones y su impacto.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mecanismos, aunque de forma general o con algunas omisiones.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los mecanismos,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los mecanismos fisiológicos.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claras en general, aunque con alguna falta de coherencia menor.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poco clara o con ideas dispersas.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reflexión sobre la importancia clínica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la relevancia clínica y posibles implicaciones terapéuticas.</w:t>
            </w:r>
          </w:p>
        </w:tc>
        <w:tc>
          <w:tcPr>
            <w:noWrap/>
          </w:tcPr>
          <w:p>
            <w:pPr/>
            <w:r>
              <w:rPr/>
              <w:t xml:space="preserve">Expresa una reflexión adecuada sobre la importancia clínica con algunos aspectos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reflexión limitada o superficial sobre la importancia clínica.</w:t>
            </w:r>
          </w:p>
        </w:tc>
        <w:tc>
          <w:tcPr>
            <w:noWrap/>
          </w:tcPr>
          <w:p>
            <w:pPr/>
            <w:r>
              <w:rPr/>
              <w:t xml:space="preserve">No incluye reflexión o presenta ideas sin fundamento clínico.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2026-09-25T18:08:41-05:00</dcterms:created>
  <dcterms:modified xsi:type="dcterms:W3CDTF">2026-09-25T18:08:41-05:00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